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C4" w:rsidRDefault="000425C4" w:rsidP="000425C4">
      <w:pPr>
        <w:spacing w:before="120" w:after="120" w:line="240" w:lineRule="exact"/>
        <w:jc w:val="both"/>
        <w:rPr>
          <w:rFonts w:ascii="Arial" w:hAnsi="Arial" w:cs="Arial"/>
          <w:b/>
        </w:rPr>
      </w:pPr>
    </w:p>
    <w:p w:rsidR="00ED0212" w:rsidRDefault="00ED0212" w:rsidP="000425C4">
      <w:pPr>
        <w:spacing w:before="120" w:after="120" w:line="240" w:lineRule="exact"/>
        <w:jc w:val="both"/>
        <w:rPr>
          <w:rFonts w:ascii="Arial" w:hAnsi="Arial" w:cs="Arial"/>
          <w:b/>
        </w:rPr>
      </w:pPr>
      <w:r w:rsidRPr="000425C4">
        <w:rPr>
          <w:rFonts w:ascii="Arial" w:hAnsi="Arial" w:cs="Arial"/>
          <w:b/>
        </w:rPr>
        <w:t xml:space="preserve">Do kosztów projektu inwestycyjnego zalicza się w szczególności: </w:t>
      </w:r>
    </w:p>
    <w:p w:rsidR="000425C4" w:rsidRPr="000425C4" w:rsidRDefault="000425C4" w:rsidP="000425C4">
      <w:pPr>
        <w:spacing w:before="120" w:after="120" w:line="240" w:lineRule="exact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D0212" w:rsidRPr="000425C4" w:rsidRDefault="00ED0212" w:rsidP="000425C4">
      <w:pPr>
        <w:numPr>
          <w:ilvl w:val="0"/>
          <w:numId w:val="2"/>
        </w:numPr>
        <w:spacing w:before="120" w:after="120" w:line="240" w:lineRule="exact"/>
        <w:ind w:left="720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 xml:space="preserve">przygotowanie do realizacji inwestycji, o których mowa w lit. b i c, w tym </w:t>
      </w:r>
      <w:r w:rsidR="000425C4">
        <w:rPr>
          <w:rFonts w:ascii="Arial" w:hAnsi="Arial" w:cs="Arial"/>
        </w:rPr>
        <w:br/>
      </w:r>
      <w:r w:rsidRPr="000425C4">
        <w:rPr>
          <w:rFonts w:ascii="Arial" w:hAnsi="Arial" w:cs="Arial"/>
        </w:rPr>
        <w:t xml:space="preserve">w szczególności kosztów opracowania dokumentacji projektowej, zakupu </w:t>
      </w:r>
      <w:r w:rsidR="000425C4">
        <w:rPr>
          <w:rFonts w:ascii="Arial" w:hAnsi="Arial" w:cs="Arial"/>
        </w:rPr>
        <w:br/>
      </w:r>
      <w:r w:rsidRPr="000425C4">
        <w:rPr>
          <w:rFonts w:ascii="Arial" w:hAnsi="Arial" w:cs="Arial"/>
        </w:rPr>
        <w:t>i przygotowania gruntu pod budowę oraz ekspertyz, świadectw, operatów, studiów, pomiarów geodezyjnych i prac geologicznych oraz prac archeologicznych, dotyczących tych inwestycji,</w:t>
      </w:r>
    </w:p>
    <w:p w:rsidR="00ED0212" w:rsidRPr="000425C4" w:rsidRDefault="00ED0212" w:rsidP="000425C4">
      <w:pPr>
        <w:numPr>
          <w:ilvl w:val="0"/>
          <w:numId w:val="2"/>
        </w:numPr>
        <w:spacing w:before="120" w:after="120" w:line="240" w:lineRule="exact"/>
        <w:ind w:left="720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 xml:space="preserve">realizację inwestycji budowlanych oraz innych zmian w obiektach budowlanych, </w:t>
      </w:r>
      <w:r w:rsidR="000425C4">
        <w:rPr>
          <w:rFonts w:ascii="Arial" w:hAnsi="Arial" w:cs="Arial"/>
        </w:rPr>
        <w:br/>
      </w:r>
      <w:r w:rsidRPr="000425C4">
        <w:rPr>
          <w:rFonts w:ascii="Arial" w:hAnsi="Arial" w:cs="Arial"/>
        </w:rPr>
        <w:t>o których mowa w art. 3 pkt 1 i 9 ustawy z dnia 7 lipca 1994 r. - Prawo budowlane (Dz.U. z 2017 r. poz. 1332, z </w:t>
      </w:r>
      <w:proofErr w:type="spellStart"/>
      <w:r w:rsidRPr="000425C4">
        <w:rPr>
          <w:rFonts w:ascii="Arial" w:hAnsi="Arial" w:cs="Arial"/>
        </w:rPr>
        <w:t>późn</w:t>
      </w:r>
      <w:proofErr w:type="spellEnd"/>
      <w:r w:rsidRPr="000425C4">
        <w:rPr>
          <w:rFonts w:ascii="Arial" w:hAnsi="Arial" w:cs="Arial"/>
        </w:rPr>
        <w:t xml:space="preserve">. </w:t>
      </w:r>
      <w:proofErr w:type="spellStart"/>
      <w:r w:rsidRPr="000425C4">
        <w:rPr>
          <w:rFonts w:ascii="Arial" w:hAnsi="Arial" w:cs="Arial"/>
        </w:rPr>
        <w:t>zm</w:t>
      </w:r>
      <w:proofErr w:type="spellEnd"/>
      <w:r w:rsidRPr="000425C4">
        <w:rPr>
          <w:rFonts w:ascii="Arial" w:hAnsi="Arial" w:cs="Arial"/>
        </w:rPr>
        <w:t xml:space="preserve"> ), wraz z usługami towarzyszącymi, </w:t>
      </w:r>
      <w:r w:rsidR="000425C4">
        <w:rPr>
          <w:rFonts w:ascii="Arial" w:hAnsi="Arial" w:cs="Arial"/>
        </w:rPr>
        <w:br/>
      </w:r>
      <w:r w:rsidRPr="000425C4">
        <w:rPr>
          <w:rFonts w:ascii="Arial" w:hAnsi="Arial" w:cs="Arial"/>
        </w:rPr>
        <w:t>w tym obsługą inwestorską,</w:t>
      </w:r>
    </w:p>
    <w:p w:rsidR="00ED0212" w:rsidRPr="000425C4" w:rsidRDefault="00ED0212" w:rsidP="000425C4">
      <w:pPr>
        <w:numPr>
          <w:ilvl w:val="0"/>
          <w:numId w:val="2"/>
        </w:numPr>
        <w:spacing w:before="120" w:after="120" w:line="240" w:lineRule="exact"/>
        <w:ind w:left="720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>zakup obiektów budowlanych,</w:t>
      </w:r>
    </w:p>
    <w:p w:rsidR="00ED0212" w:rsidRPr="000425C4" w:rsidRDefault="002D3B1B" w:rsidP="000425C4">
      <w:pPr>
        <w:numPr>
          <w:ilvl w:val="0"/>
          <w:numId w:val="2"/>
        </w:numPr>
        <w:spacing w:before="120" w:after="120" w:line="240" w:lineRule="exact"/>
        <w:ind w:left="720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 xml:space="preserve">zakup środków trwałych nie zaliczonych do pierwszego wyposażenia, których wartość początkowa jest wyższa od kwoty określonej w art. 16f ustawy z dnia </w:t>
      </w:r>
      <w:r w:rsidR="000425C4">
        <w:rPr>
          <w:rFonts w:ascii="Arial" w:hAnsi="Arial" w:cs="Arial"/>
        </w:rPr>
        <w:br/>
      </w:r>
      <w:r w:rsidRPr="000425C4">
        <w:rPr>
          <w:rFonts w:ascii="Arial" w:hAnsi="Arial" w:cs="Arial"/>
        </w:rPr>
        <w:t>15 lutego 1992 r. o podatku dochodowym od osób prawnych, a odpisy amortyzacyjne od tych środków trwałych nie są dokonywane jednorazowo lub gdy od nich nie dokonuje się odpisów amortyzacyjnych w przypadkach określonych w tej ustawie</w:t>
      </w:r>
      <w:r w:rsidR="00ED0212" w:rsidRPr="000425C4">
        <w:rPr>
          <w:rFonts w:ascii="Arial" w:hAnsi="Arial" w:cs="Arial"/>
        </w:rPr>
        <w:t xml:space="preserve">, </w:t>
      </w:r>
      <w:r w:rsidR="000425C4">
        <w:rPr>
          <w:rFonts w:ascii="Arial" w:hAnsi="Arial" w:cs="Arial"/>
        </w:rPr>
        <w:br/>
      </w:r>
      <w:r w:rsidR="00ED0212" w:rsidRPr="000425C4">
        <w:rPr>
          <w:rFonts w:ascii="Arial" w:hAnsi="Arial" w:cs="Arial"/>
        </w:rPr>
        <w:t>z zastrzeżeniem lit. e,</w:t>
      </w:r>
    </w:p>
    <w:p w:rsidR="00ED0212" w:rsidRPr="000425C4" w:rsidRDefault="00ED0212" w:rsidP="000425C4">
      <w:pPr>
        <w:numPr>
          <w:ilvl w:val="0"/>
          <w:numId w:val="2"/>
        </w:numPr>
        <w:spacing w:before="120" w:after="120" w:line="240" w:lineRule="exact"/>
        <w:ind w:left="720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>zakup lub wytworzenie we własnym zakresie środków trwałych bez względu na ich wartość oraz innych przedmiotów - jeżeli są pierwszym wyposażeniem obiektów budowlanych,</w:t>
      </w:r>
    </w:p>
    <w:p w:rsidR="00ED0212" w:rsidRPr="000425C4" w:rsidRDefault="00ED0212" w:rsidP="000425C4">
      <w:pPr>
        <w:numPr>
          <w:ilvl w:val="0"/>
          <w:numId w:val="2"/>
        </w:numPr>
        <w:spacing w:before="120" w:after="120" w:line="240" w:lineRule="exact"/>
        <w:ind w:left="720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>transport i montaż oraz inne koszty ponoszone w celu przekazania środków trwałych do używania,</w:t>
      </w:r>
    </w:p>
    <w:p w:rsidR="00ED0212" w:rsidRPr="000425C4" w:rsidRDefault="00ED0212" w:rsidP="000425C4">
      <w:pPr>
        <w:numPr>
          <w:ilvl w:val="0"/>
          <w:numId w:val="2"/>
        </w:numPr>
        <w:spacing w:before="120" w:after="120" w:line="240" w:lineRule="exact"/>
        <w:ind w:left="720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>zmiany w środkach trwałych, powodujące ich ulepszenie w rozumieniu przepisów o rachunkowości,</w:t>
      </w:r>
    </w:p>
    <w:p w:rsidR="00ED0212" w:rsidRPr="000425C4" w:rsidRDefault="00ED0212" w:rsidP="000425C4">
      <w:pPr>
        <w:numPr>
          <w:ilvl w:val="0"/>
          <w:numId w:val="2"/>
        </w:numPr>
        <w:spacing w:before="120" w:after="120" w:line="240" w:lineRule="exact"/>
        <w:ind w:left="720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>zakupy wartości niematerialnych i prawnych, jeżeli:</w:t>
      </w:r>
    </w:p>
    <w:p w:rsidR="00ED0212" w:rsidRPr="000425C4" w:rsidRDefault="00ED0212" w:rsidP="000425C4">
      <w:pPr>
        <w:autoSpaceDE w:val="0"/>
        <w:autoSpaceDN w:val="0"/>
        <w:spacing w:before="120" w:after="120" w:line="240" w:lineRule="exact"/>
        <w:ind w:left="1259" w:hanging="539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>-        ich wartość początkowa jest wyższa od kwoty określonej w art. 16f ust. 3 ustawy z dnia 15 lutego 1992 r. o podatku dochodowym od osób prawnych,</w:t>
      </w:r>
    </w:p>
    <w:p w:rsidR="00ED0212" w:rsidRPr="000425C4" w:rsidRDefault="00ED0212" w:rsidP="000425C4">
      <w:pPr>
        <w:autoSpaceDE w:val="0"/>
        <w:autoSpaceDN w:val="0"/>
        <w:spacing w:before="120" w:after="120" w:line="240" w:lineRule="exact"/>
        <w:ind w:left="1259" w:hanging="539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>-       są pierwszym wyposażeniem obiektów budowlanych - bez względu na ich wartość,</w:t>
      </w:r>
    </w:p>
    <w:p w:rsidR="00ED0212" w:rsidRPr="000425C4" w:rsidRDefault="00ED0212" w:rsidP="000425C4">
      <w:pPr>
        <w:autoSpaceDE w:val="0"/>
        <w:autoSpaceDN w:val="0"/>
        <w:spacing w:before="120" w:after="120" w:line="240" w:lineRule="exact"/>
        <w:ind w:left="426"/>
        <w:jc w:val="both"/>
        <w:rPr>
          <w:rFonts w:ascii="Arial" w:hAnsi="Arial" w:cs="Arial"/>
        </w:rPr>
      </w:pPr>
      <w:r w:rsidRPr="000425C4">
        <w:rPr>
          <w:rFonts w:ascii="Arial" w:hAnsi="Arial" w:cs="Arial"/>
        </w:rPr>
        <w:t>i) innych niewymienionych w lit. a - h, jeżeli na podstawie odrębnych przepisów podlegają finansowaniu lub dofinansowaniu</w:t>
      </w:r>
      <w:r w:rsidR="000425C4">
        <w:rPr>
          <w:rFonts w:ascii="Arial" w:hAnsi="Arial" w:cs="Arial"/>
        </w:rPr>
        <w:t xml:space="preserve"> z przeznaczeniem na inwestycje.</w:t>
      </w:r>
    </w:p>
    <w:p w:rsidR="007E2C1C" w:rsidRDefault="007E2C1C"/>
    <w:sectPr w:rsidR="007E2C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C4" w:rsidRDefault="000425C4" w:rsidP="000425C4">
      <w:r>
        <w:separator/>
      </w:r>
    </w:p>
  </w:endnote>
  <w:endnote w:type="continuationSeparator" w:id="0">
    <w:p w:rsidR="000425C4" w:rsidRDefault="000425C4" w:rsidP="0004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C4" w:rsidRDefault="000425C4" w:rsidP="000425C4">
      <w:r>
        <w:separator/>
      </w:r>
    </w:p>
  </w:footnote>
  <w:footnote w:type="continuationSeparator" w:id="0">
    <w:p w:rsidR="000425C4" w:rsidRDefault="000425C4" w:rsidP="0004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5C4" w:rsidRPr="000425C4" w:rsidRDefault="000425C4" w:rsidP="000425C4">
    <w:pPr>
      <w:pStyle w:val="Nagwek"/>
      <w:ind w:left="5670"/>
      <w:jc w:val="right"/>
      <w:rPr>
        <w:color w:val="808080" w:themeColor="background1" w:themeShade="80"/>
        <w:sz w:val="18"/>
        <w:szCs w:val="18"/>
      </w:rPr>
    </w:pPr>
    <w:r w:rsidRPr="000425C4">
      <w:rPr>
        <w:color w:val="808080" w:themeColor="background1" w:themeShade="80"/>
        <w:sz w:val="18"/>
        <w:szCs w:val="18"/>
      </w:rPr>
      <w:t xml:space="preserve">Załącznik Nr 2 do uchwały nr   /19 </w:t>
    </w:r>
    <w:r>
      <w:rPr>
        <w:color w:val="808080" w:themeColor="background1" w:themeShade="80"/>
        <w:sz w:val="18"/>
        <w:szCs w:val="18"/>
      </w:rPr>
      <w:br/>
    </w:r>
    <w:r w:rsidRPr="000425C4">
      <w:rPr>
        <w:color w:val="808080" w:themeColor="background1" w:themeShade="80"/>
        <w:sz w:val="18"/>
        <w:szCs w:val="18"/>
      </w:rPr>
      <w:t xml:space="preserve">Sejmiku Województwa Mazowieckiego </w:t>
    </w:r>
    <w:r>
      <w:rPr>
        <w:color w:val="808080" w:themeColor="background1" w:themeShade="80"/>
        <w:sz w:val="18"/>
        <w:szCs w:val="18"/>
      </w:rPr>
      <w:br/>
    </w:r>
    <w:r w:rsidRPr="000425C4">
      <w:rPr>
        <w:color w:val="808080" w:themeColor="background1" w:themeShade="80"/>
        <w:sz w:val="18"/>
        <w:szCs w:val="18"/>
      </w:rPr>
      <w:t>z dnia … w sprawie budżetu obywatelskiego Województwa Mazowieckiego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0FE"/>
    <w:multiLevelType w:val="hybridMultilevel"/>
    <w:tmpl w:val="6E30C582"/>
    <w:lvl w:ilvl="0" w:tplc="C7C428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15C57"/>
    <w:multiLevelType w:val="hybridMultilevel"/>
    <w:tmpl w:val="AA7C010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D"/>
    <w:rsid w:val="000425C4"/>
    <w:rsid w:val="002D3B1B"/>
    <w:rsid w:val="00765D5E"/>
    <w:rsid w:val="007E2C1C"/>
    <w:rsid w:val="0090048D"/>
    <w:rsid w:val="00A84C20"/>
    <w:rsid w:val="00E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535B"/>
  <w15:chartTrackingRefBased/>
  <w15:docId w15:val="{6DE6F917-5193-485E-88B4-1CDC66A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8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5C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42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5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Rosłonek Tomasz</dc:creator>
  <cp:keywords/>
  <dc:description/>
  <cp:lastModifiedBy>Obłoza Anna</cp:lastModifiedBy>
  <cp:revision>2</cp:revision>
  <dcterms:created xsi:type="dcterms:W3CDTF">2019-11-04T14:13:00Z</dcterms:created>
  <dcterms:modified xsi:type="dcterms:W3CDTF">2019-11-04T14:13:00Z</dcterms:modified>
</cp:coreProperties>
</file>